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jc w:val="left"/>
        <w:rPr>
          <w:rFonts w:ascii="仿宋_GB2312" w:hAnsi="宋体" w:eastAsia="仿宋_GB2312"/>
          <w:color w:val="000000"/>
          <w:kern w:val="0"/>
          <w:sz w:val="32"/>
          <w:szCs w:val="32"/>
        </w:rPr>
      </w:pPr>
      <w:r>
        <w:rPr>
          <w:rFonts w:hint="eastAsia" w:ascii="仿宋_GB2312" w:hAnsi="宋体" w:eastAsia="仿宋_GB2312"/>
          <w:color w:val="000000"/>
          <w:kern w:val="0"/>
          <w:sz w:val="28"/>
          <w:szCs w:val="28"/>
        </w:rPr>
        <w:t>附件1：三明职业技术学院说专业评分标准</w:t>
      </w:r>
    </w:p>
    <w:tbl>
      <w:tblPr>
        <w:tblStyle w:val="3"/>
        <w:tblW w:w="9272" w:type="dxa"/>
        <w:jc w:val="center"/>
        <w:tblInd w:w="-16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50"/>
        <w:gridCol w:w="1276"/>
        <w:gridCol w:w="6237"/>
        <w:gridCol w:w="70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32" w:hRule="atLeast"/>
          <w:jc w:val="center"/>
        </w:trPr>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b/>
                <w:bCs/>
                <w:color w:val="000000"/>
                <w:kern w:val="0"/>
                <w:sz w:val="24"/>
              </w:rPr>
              <w:t>评价层面</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b/>
                <w:bCs/>
                <w:color w:val="000000"/>
                <w:kern w:val="0"/>
                <w:sz w:val="24"/>
              </w:rPr>
              <w:t>评价内容</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b/>
                <w:bCs/>
                <w:color w:val="000000"/>
                <w:kern w:val="0"/>
                <w:sz w:val="24"/>
              </w:rPr>
              <w:t>评价要点</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b/>
                <w:bCs/>
                <w:color w:val="000000"/>
                <w:kern w:val="0"/>
                <w:sz w:val="24"/>
              </w:rPr>
              <w:t>分值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2" w:hRule="atLeast"/>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b/>
                <w:bCs/>
                <w:color w:val="000000"/>
                <w:kern w:val="0"/>
                <w:sz w:val="24"/>
              </w:rPr>
              <w:t>一、专业设置与定位</w:t>
            </w:r>
          </w:p>
        </w:tc>
        <w:tc>
          <w:tcPr>
            <w:tcW w:w="127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1.行业背景调研</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专业设置的背景明确，思路清晰，适应对接行业或区域产业优化升级的要求。</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96"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专业布点情况和所属地位分析准确。</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2.人才需求调研</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有对专业从业人员基本情况的分析。（包括职业岗位、职业资格证书的分析）</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87"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有对专业人才招聘渠道的分析。</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3"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3.专业定位</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能以学生职业生涯发展为目标，准确进行专业定位。</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7" w:hRule="atLeast"/>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b/>
                <w:bCs/>
                <w:color w:val="000000"/>
                <w:kern w:val="0"/>
                <w:sz w:val="24"/>
              </w:rPr>
              <w:t>二、专业人才培养目标和规格</w:t>
            </w:r>
          </w:p>
        </w:tc>
        <w:tc>
          <w:tcPr>
            <w:tcW w:w="127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1.人才培养目标</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能够以就业为导向确定专业人才具体的知识、能力结构。</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1"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能够以就业为导向确定专业人才具体的职业素质要求。</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2.人才培养规格</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能体现共性要求，又凸显个性化的培养规格要求，充分体现“以就业为导向，以能力培养为核心”的职业教育理念，充分体现校企合作、工学结合、工学交替、知行合一等。</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 w:hRule="atLeast"/>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b/>
                <w:bCs/>
                <w:color w:val="000000"/>
                <w:kern w:val="0"/>
                <w:sz w:val="24"/>
              </w:rPr>
              <w:t>三、职业岗位分析和课程体系</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1.岗位分析</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能够根据人才培养目标来分析专业相关职业岗位(群)的任职要求。</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2.体系框架</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对接最新职业标准、行业标准和岗位规范，调整课程结构，确定各课程的任务和要求，明确各课程在专业课程体系中的定位，合理安排课程的前后顺序，构建适应高技能人才成长规律的高职课程体系框架。</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3.措施适当</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紧贴岗位实际工作过程，深化多种模式的课程改革，更新课程内容，统筹规划建设各专业核心课程，建成一批优质的数字化教学资源并得到有效应用。</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 w:hRule="atLeast"/>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b/>
                <w:bCs/>
                <w:color w:val="000000"/>
                <w:kern w:val="0"/>
                <w:sz w:val="24"/>
              </w:rPr>
              <w:t>四、专业人才培养模式及实施</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1.人才培养模式</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能针对本专业学生职业能力和职业素质培养设计具有本专业特色的专业人才培养模式。</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2.校企融合</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企业参与人才培养质量评价参与度高；人才培养质量的衡量指标选择合理，体现了校企深度融合的特点。</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3.专业教学模式</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教学模式与方法灵活，设计具有针对性，体现以学生为主体；项目导向、任务驱动等教学做一体化教学模式推行广泛。</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b/>
                <w:bCs/>
                <w:color w:val="000000"/>
                <w:kern w:val="0"/>
                <w:sz w:val="24"/>
              </w:rPr>
              <w:t>五、“双师”结构教师团队</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1.团队管理</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善于整合与利用社会资源，能够通过有效的团队管理，形成强大的团队凝聚力和创造力。</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2.师资培养</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通过与企业的深度合作，采取多种手段，培养提高教师的实践教学能力、执教能力、社会服务能力、社会资源整合能力，</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92"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建立了“双师”结构的专兼结合的教学团队。</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 w:hRule="atLeast"/>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b/>
                <w:bCs/>
                <w:color w:val="000000"/>
                <w:kern w:val="0"/>
                <w:sz w:val="24"/>
              </w:rPr>
              <w:t>六、专业教学环境和条件</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1.教学环境</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紧紧围绕专业人才培养目标，积极推进实践教学条件和模式的改革和创新，有融入企业文化的教学环境。</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2.条件分析</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实验、实训条件现状分析系统，建设目标明确科学，建设举措有力，实训条件满足人才培养需要。</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3.资源库建设</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共享性教学资源库建设思路清晰，目标明确，框架设计合理，建设措施得力，充分体现了校企合作。</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 w:hRule="atLeast"/>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b/>
                <w:bCs/>
                <w:color w:val="000000"/>
                <w:kern w:val="0"/>
                <w:sz w:val="24"/>
              </w:rPr>
              <w:t>七、专业教学管理机制和质量保障体系</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1.管理机制</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能设计出的一套精细的专业教学管理制度来确保本专业的人才培养质量；顶岗实习管理制度、考核标准和操作流程等设计合理规范。</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2.质量体系</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质量保障、监控考核体系建立思路清晰，操作性强。</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 w:hRule="atLeast"/>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b/>
                <w:bCs/>
                <w:color w:val="000000"/>
                <w:kern w:val="0"/>
                <w:sz w:val="24"/>
              </w:rPr>
              <w:t>八、专业教学改革的特色和亮点</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1.就业质量</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人才培养质量展示充分。毕业生就业水平、就业质量高，社会评价好；在校学生技能比赛参与度高，获奖人次多。</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2.社会服务</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依托专业开展的社会服务成果丰富，影响力大。</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6"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3.教改成果</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教学基本建设、教研、教改、科研等成果丰硕。</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 w:hRule="atLeast"/>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b/>
                <w:bCs/>
                <w:color w:val="000000"/>
                <w:kern w:val="0"/>
                <w:sz w:val="24"/>
              </w:rPr>
              <w:t>九、专业建设反思</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1.经验、问题及原因分析</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有经验总结，指出了问题并进行原因分析</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9" w:hRule="atLeast"/>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2.改革思路</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下一步专业建设思路清晰，改革措施具体、可行。</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45" w:hRule="atLeast"/>
          <w:jc w:val="center"/>
        </w:trPr>
        <w:tc>
          <w:tcPr>
            <w:tcW w:w="232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b/>
                <w:bCs/>
                <w:color w:val="000000"/>
                <w:kern w:val="0"/>
                <w:sz w:val="24"/>
              </w:rPr>
              <w:t>十、现场答辩</w:t>
            </w:r>
          </w:p>
        </w:tc>
        <w:tc>
          <w:tcPr>
            <w:tcW w:w="62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仿宋" w:hAnsi="仿宋" w:eastAsia="仿宋"/>
                <w:color w:val="000000"/>
                <w:kern w:val="0"/>
                <w:sz w:val="24"/>
              </w:rPr>
            </w:pPr>
            <w:r>
              <w:rPr>
                <w:rFonts w:hint="eastAsia" w:ascii="仿宋" w:hAnsi="仿宋" w:eastAsia="仿宋"/>
                <w:color w:val="000000"/>
                <w:kern w:val="0"/>
                <w:sz w:val="24"/>
              </w:rPr>
              <w:t>回答问题要点突出、观点正确，针对性强；语言组织条理清晰、逻辑严密。</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7" w:hRule="atLeast"/>
          <w:jc w:val="center"/>
        </w:trPr>
        <w:tc>
          <w:tcPr>
            <w:tcW w:w="232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微软雅黑" w:hAnsi="微软雅黑" w:eastAsia="微软雅黑"/>
                <w:color w:val="000000"/>
                <w:kern w:val="0"/>
                <w:sz w:val="24"/>
              </w:rPr>
            </w:pPr>
            <w:r>
              <w:rPr>
                <w:rFonts w:hint="eastAsia" w:ascii="微软雅黑" w:hAnsi="微软雅黑" w:eastAsia="微软雅黑"/>
                <w:color w:val="000000"/>
                <w:kern w:val="0"/>
                <w:sz w:val="24"/>
              </w:rPr>
              <w:t>合计</w:t>
            </w:r>
          </w:p>
        </w:tc>
        <w:tc>
          <w:tcPr>
            <w:tcW w:w="694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center"/>
              <w:rPr>
                <w:rFonts w:ascii="微软雅黑" w:hAnsi="微软雅黑" w:eastAsia="微软雅黑"/>
                <w:color w:val="000000"/>
                <w:kern w:val="0"/>
                <w:sz w:val="24"/>
              </w:rPr>
            </w:pPr>
          </w:p>
        </w:tc>
      </w:tr>
    </w:tbl>
    <w:p>
      <w:r>
        <w:rPr>
          <w:rFonts w:hint="eastAsia" w:ascii="仿宋_GB2312" w:hAnsi="宋体" w:eastAsia="仿宋_GB2312"/>
          <w:color w:val="000000"/>
          <w:kern w:val="0"/>
          <w:sz w:val="3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41423"/>
    <w:rsid w:val="7DA414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2017-06-02T01:58:00Z</dcterms:created>
  <dc:creator>Administrator</dc:creator>
  <cp:lastModifiedBy>Administrator</cp:lastModifiedBy>
  <dcterms:modified xsi:type="dcterms:W3CDTF">2017-06-02T01:59:27Z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